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163C1">
      <w:pPr>
        <w:pStyle w:val="5"/>
        <w:ind w:firstLine="0" w:firstLineChars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Supplementary Tables</w:t>
      </w:r>
    </w:p>
    <w:p w14:paraId="2C9C97B7">
      <w:pPr>
        <w:keepNext w:val="0"/>
        <w:keepLines w:val="0"/>
        <w:widowControl/>
        <w:suppressLineNumbers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 w:eastAsia="zh-CN"/>
        </w:rPr>
        <w:t>Table S1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>Primary High-Expression Gene Data from DGE Analysis</w:t>
      </w:r>
    </w:p>
    <w:tbl>
      <w:tblPr>
        <w:tblStyle w:val="3"/>
        <w:tblW w:w="10906" w:type="dxa"/>
        <w:jc w:val="center"/>
        <w:tblBorders>
          <w:top w:val="single" w:color="auto" w:sz="4" w:space="0"/>
          <w:left w:val="none" w:color="auto" w:sz="0" w:space="0"/>
          <w:bottom w:val="single" w:color="auto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942"/>
        <w:gridCol w:w="3576"/>
        <w:gridCol w:w="2750"/>
        <w:gridCol w:w="3638"/>
      </w:tblGrid>
      <w:tr w14:paraId="188A2E8C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tblHeader/>
          <w:jc w:val="center"/>
        </w:trPr>
        <w:tc>
          <w:tcPr>
            <w:tcW w:w="94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0E750E97">
            <w:pPr>
              <w:snapToGrid w:val="0"/>
              <w:jc w:val="center"/>
              <w:rPr>
                <w:rFonts w:hint="eastAsia" w:ascii="Arial" w:hAnsi="Arial" w:cs="Arial"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eastAsia="zh-CN"/>
              </w:rPr>
              <w:t>Viral Species</w:t>
            </w:r>
          </w:p>
        </w:tc>
        <w:tc>
          <w:tcPr>
            <w:tcW w:w="357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3BBD78CB">
            <w:pPr>
              <w:snapToGrid w:val="0"/>
              <w:jc w:val="center"/>
              <w:rPr>
                <w:rFonts w:hint="eastAsia" w:ascii="Arial" w:hAnsi="Arial" w:cs="Arial"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eastAsia="zh-CN"/>
              </w:rPr>
              <w:t>Specimen Source</w:t>
            </w:r>
          </w:p>
        </w:tc>
        <w:tc>
          <w:tcPr>
            <w:tcW w:w="275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6ECFD797">
            <w:pPr>
              <w:snapToGrid w:val="0"/>
              <w:jc w:val="center"/>
              <w:rPr>
                <w:rFonts w:hint="eastAsia" w:ascii="Arial" w:hAnsi="Arial" w:cs="Arial"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eastAsia="zh-CN"/>
              </w:rPr>
              <w:t>Cell types</w:t>
            </w:r>
          </w:p>
        </w:tc>
        <w:tc>
          <w:tcPr>
            <w:tcW w:w="36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368E9F83">
            <w:pPr>
              <w:snapToGrid w:val="0"/>
              <w:jc w:val="center"/>
              <w:rPr>
                <w:rFonts w:hint="eastAsia" w:ascii="Arial" w:hAnsi="Arial" w:cs="Arial" w:eastAsiaTheme="minorEastAsia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eastAsia="zh-CN"/>
              </w:rPr>
              <w:t>Highly Expressed Signaling Pathways, Transcription Factors, and Genes</w:t>
            </w:r>
          </w:p>
        </w:tc>
      </w:tr>
      <w:tr w14:paraId="0E03603F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8286F0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PR8 H1N1</w:t>
            </w:r>
          </w:p>
        </w:tc>
        <w:tc>
          <w:tcPr>
            <w:tcW w:w="3576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39166C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Mouse lung tissue</w:t>
            </w:r>
          </w:p>
        </w:tc>
        <w:tc>
          <w:tcPr>
            <w:tcW w:w="275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1DF8C3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EP,FIB,LEC,BEC,GN,T,NK,B cell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_Ref19068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[51]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FDD2E47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Interferon Genes/Proteins (IRF7, Ifi203, Isg15, Ifit1, Stat1)  </w:t>
            </w:r>
          </w:p>
          <w:p w14:paraId="034520A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Antigen Presentation and T Cell Regulation (B2M)</w:t>
            </w:r>
          </w:p>
        </w:tc>
      </w:tr>
      <w:tr w14:paraId="30460EE3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2900ABC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F8A177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0F5743E6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Pf4</w:t>
            </w:r>
            <w:r>
              <w:rPr>
                <w:rFonts w:ascii="Arial" w:hAnsi="Arial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macrophages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_Ref19016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[50]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  <w:bookmarkStart w:id="0" w:name="_GoBack"/>
            <w:bookmarkEnd w:id="0"/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1D49716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Inflammatory chemokines </w:t>
            </w:r>
          </w:p>
          <w:p w14:paraId="73B4FA3C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(Ccl22, Cxcl19 Ccl7, Ccl8, Cxcl2,Ccl2,Ccl9,Ccl12,Cxcl10)</w:t>
            </w:r>
          </w:p>
          <w:p w14:paraId="00F0C870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Inflammatory cytokines (C1q,TGF-β,IL18,TNF-α)</w:t>
            </w:r>
          </w:p>
        </w:tc>
      </w:tr>
      <w:tr w14:paraId="38379585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B5D5AA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CD28666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7B02FC">
            <w:pPr>
              <w:snapToGrid w:val="0"/>
              <w:jc w:val="left"/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NK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instrText xml:space="preserve"> REF _Ref19016 \n \h </w:instrTex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t>[50]</w: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2E4C73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Inflammatory chemokines (Ccl2,Ccl3,Ccl4,Ccl5)</w:t>
            </w:r>
          </w:p>
        </w:tc>
      </w:tr>
      <w:tr w14:paraId="18F36A5E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6FDC9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6D8AE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6A77A7A5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Neutrophils in young and aged mice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_Ref19917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[67]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0B676752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comparison, young mice had high expression of inflammatory cytokines (IL-1α,Ccl3, Cxcl3,Cxcl1), which maintain immune balance, inhibit apoptosis, and reduce oxidative damage. Both were highly expressed (Cd274,Bcl2a1b,Traf1,Sod2).</w:t>
            </w:r>
          </w:p>
        </w:tc>
      </w:tr>
      <w:tr w14:paraId="44ACBD6A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4446C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F5B3334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8C82A9A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Effector CD8</w:t>
            </w:r>
            <w:r>
              <w:rPr>
                <w:rFonts w:ascii="Arial" w:hAnsi="Arial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T cells in young mice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_Ref19917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[67]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217588C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Genes encoding cytolysin (Gzma,Gzmb)</w:t>
            </w:r>
          </w:p>
        </w:tc>
      </w:tr>
      <w:tr w14:paraId="3AD599CE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EB5B15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120AB9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83229BC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Effector CD8</w:t>
            </w:r>
            <w:r>
              <w:rPr>
                <w:rFonts w:ascii="Arial" w:hAnsi="Arial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T and CD4</w:t>
            </w:r>
            <w:r>
              <w:rPr>
                <w:rFonts w:ascii="Arial" w:hAnsi="Arial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T cells in aged mice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_Ref19917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[67]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777D290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Genes associated with persistent T cell stimulation, T cell exhaustion and apoptosis (Tox,Eomes,Casp3\4)</w:t>
            </w:r>
          </w:p>
        </w:tc>
      </w:tr>
      <w:tr w14:paraId="502E5301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7A563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34A68C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A26A3E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C1 subgroup of LEC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_Ref19515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[61]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9D29F1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Processes associated with the immune response</w:t>
            </w:r>
          </w:p>
        </w:tc>
      </w:tr>
      <w:tr w14:paraId="62AA247E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332DCC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70BC2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Spleen and lung tissues from mice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69F01F14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Germline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HA-Bmems cells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_Ref19976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[68]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3BE53189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Btg1,Foxp1,Plac8, and other genes that control cell proliferation and differentiation</w:t>
            </w:r>
          </w:p>
        </w:tc>
      </w:tr>
      <w:tr w14:paraId="4B3E630F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46D9C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1E7A1F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3FB946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Highly mutated HA-Bmems cells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_Ref19976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[68]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B38D3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Slpi,Txndc5,Cmah, and other genes related to programming</w:t>
            </w:r>
          </w:p>
        </w:tc>
      </w:tr>
      <w:tr w14:paraId="633A8CFD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6B00A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B03F396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Mouse macrophages M1,M2, and M0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51A485D3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Arg1_macrophages (M2 polarization)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_Ref324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[58]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FAEE2AB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Mitochondrial electron transport chain (Cox1, Cox2, Cox3 Nad1, Nad2, Nad4, ATPase - 6)</w:t>
            </w:r>
          </w:p>
        </w:tc>
      </w:tr>
      <w:tr w14:paraId="794D4972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83FC21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04DF3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2F32C8C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M2 and M0 bone marrow-derived macrophages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_Ref324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[58]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600D737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Lysosomal genes</w:t>
            </w:r>
          </w:p>
        </w:tc>
      </w:tr>
      <w:tr w14:paraId="2085272B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5078CE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Clinical IAV</w:t>
            </w:r>
          </w:p>
        </w:tc>
        <w:tc>
          <w:tcPr>
            <w:tcW w:w="357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B568BD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Peripheral whole blood from IAV children, adults, and pregnant women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37FE6F0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B,NK, NKT_FCGR3A cells, Effector CD8</w:t>
            </w:r>
            <w:r>
              <w:rPr>
                <w:rFonts w:ascii="Arial" w:hAnsi="Arial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 xml:space="preserve"> T cells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_Ref19391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[59]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7CCB5B94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Type I interferon signaling pathway</w:t>
            </w:r>
          </w:p>
        </w:tc>
      </w:tr>
      <w:tr w14:paraId="55BE9F13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3C4D67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722569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120171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Neutrophil _GIHCG, _CAMK1D, _LCN2, _CAB39L, _ISG15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_Ref19391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[59]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ACE0CCB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_GIHCG-Glucocorticoid inducing factor (TSC22D3)</w:t>
            </w:r>
          </w:p>
          <w:p w14:paraId="6DCD78D2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_CAMK1D - Regulation of granulocyte function, differentiation, and activation</w:t>
            </w:r>
          </w:p>
          <w:p w14:paraId="7EA10F84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_LCN2 -- Cytoplasmic translation, Neutrophil activation, ATP metabolism, and Cellular response to IL-4, Pulmonary inflammation (LCN2,DEFA3)</w:t>
            </w:r>
          </w:p>
          <w:p w14:paraId="03DD254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_CAB39L - Substance related to energy metabolism</w:t>
            </w:r>
          </w:p>
          <w:p w14:paraId="55EBE50A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_ISG15-Interferon stimulated genes (ISG15, IFIT1, IFIT2, IFIT3 and RSAD2)</w:t>
            </w:r>
          </w:p>
        </w:tc>
      </w:tr>
      <w:tr w14:paraId="498DC22A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CE9921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7955ACF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37C99FBA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Classical monocytes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_Ref19391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[59]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4D016508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Regulates cytokine production, myeloid leukocyte activation, and response to bacteria (S100A12,S100A9, S100A8,IFI27)</w:t>
            </w:r>
          </w:p>
        </w:tc>
      </w:tr>
      <w:tr w14:paraId="6687D9BD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E5EB26D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6" w:type="dxa"/>
            <w:vMerge w:val="continue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1EFF263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32A44C">
            <w:pPr>
              <w:snapToGrid w:val="0"/>
              <w:jc w:val="left"/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>Non-classical monocytes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instrText xml:space="preserve"> REF _Ref19391 \n \h </w:instrTex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t>[59]</w:t>
            </w:r>
            <w:r>
              <w:rPr>
                <w:rFonts w:hint="default" w:ascii="Arial" w:hAnsi="Arial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AD5B37A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Complement pathway (C1QA,C1QB,C1QC)</w:t>
            </w:r>
          </w:p>
          <w:p w14:paraId="33532E2E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Interferon is associated</w:t>
            </w:r>
          </w:p>
          <w:p w14:paraId="191F72E7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(CXCL10,IRF7,STAT1)</w:t>
            </w:r>
          </w:p>
        </w:tc>
      </w:tr>
      <w:tr w14:paraId="3C63D5C0">
        <w:tblPrEx>
          <w:tblBorders>
            <w:top w:val="single" w:color="auto" w:sz="4" w:space="0"/>
            <w:left w:val="none" w:color="auto" w:sz="0" w:space="0"/>
            <w:bottom w:val="single" w:color="auto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942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vAlign w:val="center"/>
          </w:tcPr>
          <w:p w14:paraId="04B90EFD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H5N6</w:t>
            </w:r>
          </w:p>
          <w:p w14:paraId="4A80C5E5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Avian influenza</w:t>
            </w:r>
          </w:p>
        </w:tc>
        <w:tc>
          <w:tcPr>
            <w:tcW w:w="3576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vAlign w:val="center"/>
          </w:tcPr>
          <w:p w14:paraId="4934AEB1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PBMC samples from critically ill children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051EA79A">
            <w:pPr>
              <w:snapToGrid w:val="0"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ILC_CXCR4, ILC_RPS4Y1, ILC_ERAP2,ILC_DUSP1,</w:t>
            </w:r>
          </w:p>
          <w:p w14:paraId="0410769F">
            <w:pPr>
              <w:snapToGrid w:val="0"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CD4</w:t>
            </w:r>
            <w:r>
              <w:rPr>
                <w:rFonts w:ascii="Arial" w:hAnsi="Arial" w:eastAsia="宋体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eastAsia="宋体" w:cs="Arial"/>
                <w:sz w:val="20"/>
                <w:szCs w:val="20"/>
              </w:rPr>
              <w:t>T_RPS4Y1,</w:t>
            </w:r>
          </w:p>
          <w:p w14:paraId="06A363AB">
            <w:pPr>
              <w:snapToGrid w:val="0"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CD4</w:t>
            </w:r>
            <w:r>
              <w:rPr>
                <w:rFonts w:ascii="Arial" w:hAnsi="Arial" w:eastAsia="宋体" w:cs="Arial"/>
                <w:sz w:val="20"/>
                <w:szCs w:val="20"/>
                <w:vertAlign w:val="baseline"/>
              </w:rPr>
              <w:t>+</w:t>
            </w:r>
            <w:r>
              <w:rPr>
                <w:rFonts w:ascii="Arial" w:hAnsi="Arial" w:eastAsia="宋体" w:cs="Arial"/>
                <w:sz w:val="20"/>
                <w:szCs w:val="20"/>
              </w:rPr>
              <w:t xml:space="preserve"> T_TRBC2,</w:t>
            </w:r>
          </w:p>
          <w:p w14:paraId="4533498C">
            <w:pPr>
              <w:snapToGrid w:val="0"/>
              <w:jc w:val="left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CD4</w:t>
            </w:r>
            <w:r>
              <w:rPr>
                <w:rFonts w:ascii="Arial" w:hAnsi="Arial" w:eastAsia="宋体" w:cs="Arial"/>
                <w:sz w:val="20"/>
                <w:szCs w:val="20"/>
                <w:vertAlign w:val="baseline"/>
              </w:rPr>
              <w:t xml:space="preserve">+ </w:t>
            </w:r>
            <w:r>
              <w:rPr>
                <w:rFonts w:ascii="Arial" w:hAnsi="Arial" w:eastAsia="宋体" w:cs="Arial"/>
                <w:sz w:val="20"/>
                <w:szCs w:val="20"/>
              </w:rPr>
              <w:t>T_DUSP1 ,</w:t>
            </w:r>
          </w:p>
          <w:p w14:paraId="5B996310">
            <w:pPr>
              <w:snapToGrid w:val="0"/>
              <w:jc w:val="left"/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CD4</w:t>
            </w:r>
            <w:r>
              <w:rPr>
                <w:rFonts w:ascii="Arial" w:hAnsi="Arial" w:eastAsia="宋体" w:cs="Arial"/>
                <w:sz w:val="20"/>
                <w:szCs w:val="20"/>
                <w:vertAlign w:val="baseline"/>
              </w:rPr>
              <w:t xml:space="preserve">+ </w:t>
            </w:r>
            <w:r>
              <w:rPr>
                <w:rFonts w:ascii="Arial" w:hAnsi="Arial" w:eastAsia="宋体" w:cs="Arial"/>
                <w:sz w:val="20"/>
                <w:szCs w:val="20"/>
              </w:rPr>
              <w:t>T_HLA-DRB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begin"/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instrText xml:space="preserve"> REF _Ref19140 \n \h </w:instrTex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separate"/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t>[53]</w:t>
            </w:r>
            <w:r>
              <w:rPr>
                <w:rFonts w:hint="default" w:ascii="Arial" w:hAnsi="Arial" w:eastAsia="宋体" w:cs="Arial"/>
                <w:sz w:val="20"/>
                <w:szCs w:val="20"/>
                <w:vertAlign w:val="baseline"/>
                <w:lang w:val="en-US"/>
              </w:rPr>
              <w:fldChar w:fldCharType="end"/>
            </w:r>
          </w:p>
        </w:tc>
        <w:tc>
          <w:tcPr>
            <w:tcW w:w="3638" w:type="dxa"/>
            <w:tcBorders>
              <w:top w:val="nil"/>
              <w:left w:val="nil"/>
              <w:bottom w:val="single" w:color="auto" w:sz="12" w:space="0"/>
              <w:right w:val="nil"/>
              <w:tl2br w:val="nil"/>
              <w:tr2bl w:val="nil"/>
            </w:tcBorders>
            <w:shd w:val="clear" w:color="auto" w:fill="E7E6E6" w:themeFill="background2"/>
            <w:vAlign w:val="center"/>
          </w:tcPr>
          <w:p w14:paraId="267A4989">
            <w:pPr>
              <w:snapToGrid w:val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Biological processes related to oxidative stress and cell death, immune-related biological processes; chemokine , TNF and IL17 signaling pathway, PD-L1 expression and PD-1 checkpoint pathway in cancer were enriched</w:t>
            </w:r>
          </w:p>
        </w:tc>
      </w:tr>
    </w:tbl>
    <w:p w14:paraId="5D0BFD71">
      <w:pPr>
        <w:pStyle w:val="5"/>
        <w:ind w:firstLine="0" w:firstLineChars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Note: Epithelial cells (EP), fibroblasts (FIB), lymphatic endothelial cells (LEC), blood endothelial cells (BEC), granulocytes (GN), and innate lymphoid cells (ILC).</w:t>
      </w:r>
    </w:p>
    <w:p w14:paraId="5CA432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51BB4"/>
    <w:rsid w:val="18B5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2025-11-10T04:20:00Z</dcterms:created>
  <dc:creator>木啦木呐</dc:creator>
  <cp:lastModifiedBy>木啦木呐</cp:lastModifiedBy>
  <dcterms:modified xsi:type="dcterms:W3CDTF">2025-11-10T04:24:23Z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4859973E41E14C7E953931EA352DADD9_11</vt:lpwstr>
  </property>
  <property fmtid="{D5CDD505-2E9C-101B-9397-08002B2CF9AE}" pid="4" name="KSOTemplateDocerSaveRecord">
    <vt:lpwstr>eyJoZGlkIjoiYmY4MTk4M2I0MTdjYjYxODdhMmJlYTU4ZDlkMmIyOTciLCJ1c2VySWQiOiIxMTcxNzMzNTY1In0=</vt:lpwstr>
  </property>
</Properties>
</file>